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shd w:val="clear" w:color="auto" w:fill="FFFFFF"/>
        <w:tblCellMar>
          <w:top w:w="90" w:type="dxa"/>
          <w:left w:w="90" w:type="dxa"/>
          <w:bottom w:w="90" w:type="dxa"/>
          <w:right w:w="90" w:type="dxa"/>
        </w:tblCellMar>
        <w:tblLook w:val="04A0" w:firstRow="1" w:lastRow="0" w:firstColumn="1" w:lastColumn="0" w:noHBand="0" w:noVBand="1"/>
      </w:tblPr>
      <w:tblGrid>
        <w:gridCol w:w="10488"/>
      </w:tblGrid>
      <w:tr w:rsidR="00FE1374" w:rsidRPr="00FE1374" w:rsidTr="00FE1374">
        <w:trPr>
          <w:trHeight w:val="20"/>
          <w:tblCellSpacing w:w="15" w:type="dxa"/>
        </w:trPr>
        <w:tc>
          <w:tcPr>
            <w:tcW w:w="5000" w:type="pct"/>
            <w:shd w:val="clear" w:color="auto" w:fill="FFFFFF"/>
            <w:vAlign w:val="center"/>
            <w:hideMark/>
          </w:tcPr>
          <w:p w:rsidR="00FE1374" w:rsidRPr="00FE1374" w:rsidRDefault="00FE1374" w:rsidP="00FE1374">
            <w:pPr>
              <w:spacing w:after="0" w:line="240" w:lineRule="auto"/>
            </w:pPr>
          </w:p>
        </w:tc>
      </w:tr>
      <w:tr w:rsidR="00FE1374" w:rsidRPr="00FE1374" w:rsidTr="00FE1374">
        <w:trPr>
          <w:trHeight w:val="462"/>
          <w:tblCellSpacing w:w="15" w:type="dxa"/>
        </w:trPr>
        <w:tc>
          <w:tcPr>
            <w:tcW w:w="5000" w:type="pct"/>
            <w:shd w:val="clear" w:color="auto" w:fill="FFFFFF" w:themeFill="background1"/>
            <w:vAlign w:val="center"/>
            <w:hideMark/>
          </w:tcPr>
          <w:p w:rsidR="00000000" w:rsidRPr="00FE1374" w:rsidRDefault="00FE1374" w:rsidP="00FE1374">
            <w:pPr>
              <w:spacing w:after="0" w:line="240" w:lineRule="auto"/>
              <w:rPr>
                <w:b/>
                <w:bCs/>
                <w:sz w:val="28"/>
              </w:rPr>
            </w:pPr>
            <w:r w:rsidRPr="00FE1374">
              <w:rPr>
                <w:b/>
                <w:bCs/>
                <w:sz w:val="28"/>
              </w:rPr>
              <w:t>Ed</w:t>
            </w:r>
            <w:bookmarkStart w:id="0" w:name="_GoBack"/>
            <w:bookmarkEnd w:id="0"/>
            <w:r w:rsidRPr="00FE1374">
              <w:rPr>
                <w:b/>
                <w:bCs/>
                <w:sz w:val="28"/>
              </w:rPr>
              <w:t>mund Burke, </w:t>
            </w:r>
            <w:r w:rsidRPr="00FE1374">
              <w:rPr>
                <w:b/>
                <w:bCs/>
                <w:i/>
                <w:iCs/>
                <w:sz w:val="28"/>
              </w:rPr>
              <w:t>Reflections on the Revolution in France</w:t>
            </w:r>
            <w:r w:rsidRPr="00FE1374">
              <w:rPr>
                <w:b/>
                <w:bCs/>
                <w:sz w:val="28"/>
              </w:rPr>
              <w:t> (1790)</w:t>
            </w:r>
          </w:p>
        </w:tc>
      </w:tr>
      <w:tr w:rsidR="00FE1374" w:rsidRPr="00FE1374" w:rsidTr="00FE1374">
        <w:trPr>
          <w:trHeight w:val="4095"/>
          <w:tblCellSpacing w:w="15" w:type="dxa"/>
        </w:trPr>
        <w:tc>
          <w:tcPr>
            <w:tcW w:w="5000" w:type="pct"/>
            <w:shd w:val="clear" w:color="auto" w:fill="FFFFFF"/>
            <w:hideMark/>
          </w:tcPr>
          <w:p w:rsidR="00FE1374" w:rsidRPr="00FE1374" w:rsidRDefault="00FE1374" w:rsidP="00FE1374">
            <w:pPr>
              <w:spacing w:after="0" w:line="240" w:lineRule="auto"/>
            </w:pPr>
            <w:r w:rsidRPr="00FE1374">
              <w:t xml:space="preserve">When I see the spirit of liberty in action, I see a strong principle at work; and this, for a while, is all I can possibly know of it. The wild gas, the fixed air is plainly broke loose: but we ought to suspend our judgments until the first effervescence is a little subsided, till the liquor is cleared, and until we see something deeper than the agitation of the troubled and frothy surface. I must be tolerably sure, before venture publicly to congratulate men on a blessing, that they have really received one. Flattery corrupts both the receiver and the giver; and adulation is not of more service to the people than to kings. I should therefore suspend my congratulations on the new liberty of France, until I was informed how it had been combined with government; with public force; with the discipline and obedience of armies; with the collection of </w:t>
            </w:r>
            <w:proofErr w:type="gramStart"/>
            <w:r w:rsidRPr="00FE1374">
              <w:t>an effective</w:t>
            </w:r>
            <w:proofErr w:type="gramEnd"/>
            <w:r w:rsidRPr="00FE1374">
              <w:t xml:space="preserve"> and well-distributed revenue; with the solidity for property; with peace in order; with civil and social manners. All these (in their way) are good things to; and, without them, liberty is not a benefit while it lasts, and is not likely to continue long. The effect of liberty to individuals </w:t>
            </w:r>
            <w:proofErr w:type="gramStart"/>
            <w:r w:rsidRPr="00FE1374">
              <w:t>is,</w:t>
            </w:r>
            <w:proofErr w:type="gramEnd"/>
            <w:r w:rsidRPr="00FE1374">
              <w:t xml:space="preserve"> that they may do what they please: we ought to see what it will please them to do, before we risk congratulations, which may soon be turned into complaints. Prudence would dictate this in the case of separate insulated private men; but liberty, when men act in bodies, is power. Considerate people, before they declare themselves, will observe the use which is made of power; and particularly of so trying a thing as new power in new persons, of whose principals, tempers, and dispositions, they have little or no experience, and in situations where those who appear the most stirring in the scene may possibly not be the real movers. . . .</w:t>
            </w:r>
          </w:p>
          <w:p w:rsidR="00FE1374" w:rsidRDefault="00FE1374" w:rsidP="00FE1374">
            <w:pPr>
              <w:spacing w:after="0" w:line="240" w:lineRule="auto"/>
            </w:pPr>
          </w:p>
          <w:p w:rsidR="00FE1374" w:rsidRDefault="00FE1374" w:rsidP="00FE1374">
            <w:pPr>
              <w:spacing w:after="0" w:line="240" w:lineRule="auto"/>
            </w:pPr>
            <w:r w:rsidRPr="00FE1374">
              <w:t xml:space="preserve">The age of chivalry is gone. -- That of </w:t>
            </w:r>
            <w:proofErr w:type="spellStart"/>
            <w:r w:rsidRPr="00FE1374">
              <w:t>sophisters</w:t>
            </w:r>
            <w:proofErr w:type="spellEnd"/>
            <w:r w:rsidRPr="00FE1374">
              <w:t>, economists, and calculators, has succeeded; and the glory of Europe is extinguished forever. Never, never more, shall we behold a generous loyalty to rank and sex, that proud submission, that dignified obedience, that subordination of the heart, which kept alive, even in servitude itself, the spirit of an exalted freedom. The unbought grace of life, achieved defense of nations, the nurse of the manly sentiment and heroic enterprise is gone! It is gone, that sensibility of principle, that chastity of honor, which felt a stain like a wound, which inspired courage while it mitigated ferocity, which ennobled whatever it touched, and under which vice itself lost half its evil, by losing all its grossness. . . .</w:t>
            </w:r>
          </w:p>
          <w:p w:rsidR="00FE1374" w:rsidRPr="00FE1374" w:rsidRDefault="00FE1374" w:rsidP="00FE1374">
            <w:pPr>
              <w:spacing w:after="0" w:line="240" w:lineRule="auto"/>
            </w:pPr>
          </w:p>
          <w:p w:rsidR="00FE1374" w:rsidRDefault="00FE1374" w:rsidP="00FE1374">
            <w:pPr>
              <w:spacing w:after="0" w:line="240" w:lineRule="auto"/>
            </w:pPr>
            <w:r w:rsidRPr="00FE1374">
              <w:t>But now all is to be changed. All the pleasing illusions, which made power gentle, and obedience liberal, which harmonized the different shades of life, and which, by a bland simulation, incorporated into politics the sentiments which beautify and soften private society, are to be dissolved by this new conquering empire of light and reason. All the decent drapery of life is to be rudely torn off. All the super-added ideas, furnished from the wardrobe of a moral imagination, which the heart owns, and the understanding ratifies, as necessary to cover the defects of her naked shivering nature, and to raise it to dignity in our own estimation, are to be exploded as ridiculous, absurd, and antiquated fashion.</w:t>
            </w:r>
          </w:p>
          <w:p w:rsidR="00FE1374" w:rsidRPr="00FE1374" w:rsidRDefault="00FE1374" w:rsidP="00FE1374">
            <w:pPr>
              <w:spacing w:after="0" w:line="240" w:lineRule="auto"/>
            </w:pPr>
          </w:p>
          <w:p w:rsidR="00FE1374" w:rsidRDefault="00FE1374" w:rsidP="00FE1374">
            <w:pPr>
              <w:spacing w:after="0" w:line="240" w:lineRule="auto"/>
            </w:pPr>
            <w:r w:rsidRPr="00FE1374">
              <w:t>On this scheme of things, a king is but a man; a queen is but a woman; a woman is but an animal; and an animal not of the highest order. . . . On the scheme of this barbarous philosophy, which is the offspring of cold hearts and muddy understandings, and which is as void of solid wisdom, as it is destitute of all taste and elegance, laws are to be supported only by their terrors, and by the concern, which each individual may find in them, from his own private speculations, or even spare to them from his own private interests. In the groves of their academy, at the end of every vista, you see nothing but the gallows. . . . When the old feudal and chivalrous spirit of Fealty, which, by freeing kings from fear, freed both kings and subjects from the precautions of tyranny, shall be extinct in the minds of men, plots and assassinations will be anticipated by preventive murder and preventive confiscation, and that long roll of grim and bloody maxims, which form the political code of all power, not standing on its own honor, and the honor of those who are to obey it. Kings will be tyrants from policy when subjects are rebels from principle. . . .</w:t>
            </w:r>
          </w:p>
          <w:p w:rsidR="00FE1374" w:rsidRPr="00FE1374" w:rsidRDefault="00FE1374" w:rsidP="00FE1374">
            <w:pPr>
              <w:spacing w:after="0" w:line="240" w:lineRule="auto"/>
            </w:pPr>
          </w:p>
          <w:p w:rsidR="00FE1374" w:rsidRDefault="00FE1374" w:rsidP="00FE1374">
            <w:pPr>
              <w:spacing w:after="0" w:line="240" w:lineRule="auto"/>
            </w:pPr>
            <w:r w:rsidRPr="00FE1374">
              <w:t xml:space="preserve">To make a government requires no great prudence. Settle the seat of power; teach obedience and the work is done. To give freedom is still </w:t>
            </w:r>
            <w:proofErr w:type="gramStart"/>
            <w:r w:rsidRPr="00FE1374">
              <w:t>more easy</w:t>
            </w:r>
            <w:proofErr w:type="gramEnd"/>
            <w:r w:rsidRPr="00FE1374">
              <w:t xml:space="preserve">. It is not necessary to guide; it only requires </w:t>
            </w:r>
            <w:proofErr w:type="gramStart"/>
            <w:r w:rsidRPr="00FE1374">
              <w:t>to let</w:t>
            </w:r>
            <w:proofErr w:type="gramEnd"/>
            <w:r w:rsidRPr="00FE1374">
              <w:t xml:space="preserve"> go the rein. But to form a </w:t>
            </w:r>
            <w:r w:rsidRPr="00FE1374">
              <w:rPr>
                <w:i/>
                <w:iCs/>
              </w:rPr>
              <w:t>free government;</w:t>
            </w:r>
            <w:r w:rsidRPr="00FE1374">
              <w:t xml:space="preserve"> that is, to temper together these opposite elements of liberty and restraint in one consistent work, requires much thought, deep reflection, a sagacious, powerful, and combining mind. This I do not find in </w:t>
            </w:r>
            <w:r w:rsidRPr="00FE1374">
              <w:lastRenderedPageBreak/>
              <w:t xml:space="preserve">those who take the lead in the National Assembly. Perhaps they are not </w:t>
            </w:r>
            <w:proofErr w:type="gramStart"/>
            <w:r w:rsidRPr="00FE1374">
              <w:t>so</w:t>
            </w:r>
            <w:proofErr w:type="gramEnd"/>
            <w:r w:rsidRPr="00FE1374">
              <w:t xml:space="preserve"> miserably deficient as they appear. I rather believe it. It would put them below the common level of human understanding. But when the leaders choose to make themselves bidders at an auction of popularity, their talents, in the construction of the state, will be of no service. They will become flatterers instead of legislators; the instruments, not the guides, of the people. If any of them should happen to propose a scheme of liberty, soberly limited, and defined with proper qualifications, he will be immediately outbid by his competitors, who will produce something more splendidly popular. Suspicions will be raised of his fidelity to his cause. Moderation will be stigmatized as the virtue of cowards; and compromise as the prudence of traitors; until, in hopes of preserving the credit which may enable him to temper, and moderate, on some occasions, the popular leader is obliged to become active in propagating doctrines, and establishing powers, that will afterwards defeat any sober purpose at which he ultimately might have aimed. . . .</w:t>
            </w:r>
          </w:p>
          <w:p w:rsidR="00FE1374" w:rsidRPr="00FE1374" w:rsidRDefault="00FE1374" w:rsidP="00FE1374">
            <w:pPr>
              <w:spacing w:after="0" w:line="240" w:lineRule="auto"/>
            </w:pPr>
          </w:p>
          <w:p w:rsidR="00FE1374" w:rsidRDefault="00FE1374" w:rsidP="00FE1374">
            <w:pPr>
              <w:spacing w:after="0" w:line="240" w:lineRule="auto"/>
            </w:pPr>
            <w:r w:rsidRPr="00FE1374">
              <w:t>The improvements of the National Assembly are superficial, their errors are fundamental.</w:t>
            </w:r>
          </w:p>
          <w:p w:rsidR="00FE1374" w:rsidRPr="00FE1374" w:rsidRDefault="00FE1374" w:rsidP="00FE1374">
            <w:pPr>
              <w:spacing w:after="0" w:line="240" w:lineRule="auto"/>
            </w:pPr>
          </w:p>
          <w:p w:rsidR="00000000" w:rsidRPr="00FE1374" w:rsidRDefault="00FE1374" w:rsidP="00FE1374">
            <w:pPr>
              <w:spacing w:after="0" w:line="240" w:lineRule="auto"/>
            </w:pPr>
            <w:r w:rsidRPr="00FE1374">
              <w:t>Source: Edmund Burke, </w:t>
            </w:r>
            <w:r w:rsidRPr="00FE1374">
              <w:rPr>
                <w:i/>
                <w:iCs/>
              </w:rPr>
              <w:t>Reflections on the Revolution in France</w:t>
            </w:r>
            <w:r w:rsidRPr="00FE1374">
              <w:t>, in </w:t>
            </w:r>
            <w:r w:rsidRPr="00FE1374">
              <w:rPr>
                <w:i/>
                <w:iCs/>
              </w:rPr>
              <w:t xml:space="preserve">The Works of the Right </w:t>
            </w:r>
            <w:proofErr w:type="spellStart"/>
            <w:r w:rsidRPr="00FE1374">
              <w:rPr>
                <w:i/>
                <w:iCs/>
              </w:rPr>
              <w:t>Honourable</w:t>
            </w:r>
            <w:proofErr w:type="spellEnd"/>
            <w:r w:rsidRPr="00FE1374">
              <w:rPr>
                <w:i/>
                <w:iCs/>
              </w:rPr>
              <w:t xml:space="preserve"> Edmund Burke</w:t>
            </w:r>
            <w:r w:rsidRPr="00FE1374">
              <w:t xml:space="preserve">, vol. 2 (London: Henry G. Bohn, 1864), pp. 515-516. </w:t>
            </w:r>
            <w:r w:rsidRPr="00FE1374">
              <w:rPr>
                <w:i/>
                <w:iCs/>
              </w:rPr>
              <w:t xml:space="preserve">copyright © 2001 Steven </w:t>
            </w:r>
            <w:proofErr w:type="spellStart"/>
            <w:r w:rsidRPr="00FE1374">
              <w:rPr>
                <w:i/>
                <w:iCs/>
              </w:rPr>
              <w:t>Kreis</w:t>
            </w:r>
            <w:proofErr w:type="spellEnd"/>
            <w:r w:rsidRPr="00FE1374">
              <w:rPr>
                <w:i/>
                <w:iCs/>
              </w:rPr>
              <w:br/>
            </w:r>
            <w:r w:rsidRPr="00FE1374">
              <w:rPr>
                <w:i/>
                <w:iCs/>
              </w:rPr>
              <w:br/>
            </w:r>
          </w:p>
        </w:tc>
      </w:tr>
    </w:tbl>
    <w:p w:rsidR="00910611" w:rsidRDefault="00910611" w:rsidP="00FE1374">
      <w:pPr>
        <w:spacing w:after="0" w:line="240" w:lineRule="auto"/>
      </w:pPr>
    </w:p>
    <w:sectPr w:rsidR="00910611" w:rsidSect="00FE13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74"/>
    <w:rsid w:val="00910611"/>
    <w:rsid w:val="00FE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74"/>
    <w:rPr>
      <w:color w:val="0563C1" w:themeColor="hyperlink"/>
      <w:u w:val="single"/>
    </w:rPr>
  </w:style>
  <w:style w:type="paragraph" w:styleId="BalloonText">
    <w:name w:val="Balloon Text"/>
    <w:basedOn w:val="Normal"/>
    <w:link w:val="BalloonTextChar"/>
    <w:uiPriority w:val="99"/>
    <w:semiHidden/>
    <w:unhideWhenUsed/>
    <w:rsid w:val="00FE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74"/>
    <w:rPr>
      <w:color w:val="0563C1" w:themeColor="hyperlink"/>
      <w:u w:val="single"/>
    </w:rPr>
  </w:style>
  <w:style w:type="paragraph" w:styleId="BalloonText">
    <w:name w:val="Balloon Text"/>
    <w:basedOn w:val="Normal"/>
    <w:link w:val="BalloonTextChar"/>
    <w:uiPriority w:val="99"/>
    <w:semiHidden/>
    <w:unhideWhenUsed/>
    <w:rsid w:val="00FE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Gregory    IHS - Staff</dc:creator>
  <cp:lastModifiedBy>Harrington, Gregory    IHS - Staff</cp:lastModifiedBy>
  <cp:revision>1</cp:revision>
  <dcterms:created xsi:type="dcterms:W3CDTF">2016-12-09T15:35:00Z</dcterms:created>
  <dcterms:modified xsi:type="dcterms:W3CDTF">2016-12-09T15:37:00Z</dcterms:modified>
</cp:coreProperties>
</file>